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3673B13" w:rsidR="00084878" w:rsidRDefault="00136D46">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{{Replace Section 3 of APA (Payment of Purchase Price) with the following}</w:t>
      </w:r>
      <w:r>
        <w:rPr>
          <w:rFonts w:ascii="Times New Roman" w:eastAsia="Times New Roman" w:hAnsi="Times New Roman" w:cs="Times New Roman"/>
          <w:b/>
          <w:sz w:val="24"/>
          <w:szCs w:val="24"/>
          <w:highlight w:val="yellow"/>
        </w:rPr>
        <w:t>}</w:t>
      </w:r>
    </w:p>
    <w:p w14:paraId="00000002" w14:textId="77777777" w:rsidR="00084878" w:rsidRDefault="00084878">
      <w:pPr>
        <w:rPr>
          <w:rFonts w:ascii="Times New Roman" w:eastAsia="Times New Roman" w:hAnsi="Times New Roman" w:cs="Times New Roman"/>
          <w:sz w:val="24"/>
          <w:szCs w:val="24"/>
        </w:rPr>
      </w:pPr>
    </w:p>
    <w:p w14:paraId="00000003" w14:textId="77777777" w:rsidR="00084878" w:rsidRDefault="00136D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purchase price (the “Purchase Price”) for the transaction contemplated herein shall be: </w:t>
      </w:r>
    </w:p>
    <w:p w14:paraId="00000004" w14:textId="77777777" w:rsidR="00084878" w:rsidRDefault="00084878">
      <w:pPr>
        <w:spacing w:line="240" w:lineRule="auto"/>
        <w:rPr>
          <w:rFonts w:ascii="Times New Roman" w:eastAsia="Times New Roman" w:hAnsi="Times New Roman" w:cs="Times New Roman"/>
          <w:b/>
          <w:color w:val="333333"/>
          <w:sz w:val="24"/>
          <w:szCs w:val="24"/>
        </w:rPr>
      </w:pPr>
    </w:p>
    <w:tbl>
      <w:tblPr>
        <w:tblStyle w:val="a"/>
        <w:tblW w:w="8640" w:type="dxa"/>
        <w:tblLayout w:type="fixed"/>
        <w:tblLook w:val="0400" w:firstRow="0" w:lastRow="0" w:firstColumn="0" w:lastColumn="0" w:noHBand="0" w:noVBand="1"/>
      </w:tblPr>
      <w:tblGrid>
        <w:gridCol w:w="270"/>
        <w:gridCol w:w="8370"/>
      </w:tblGrid>
      <w:tr w:rsidR="00084878" w14:paraId="565E788B" w14:textId="77777777">
        <w:tc>
          <w:tcPr>
            <w:tcW w:w="270" w:type="dxa"/>
          </w:tcPr>
          <w:p w14:paraId="00000005" w14:textId="77777777" w:rsidR="00084878" w:rsidRDefault="00136D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370" w:type="dxa"/>
          </w:tcPr>
          <w:p w14:paraId="00000006" w14:textId="77777777" w:rsidR="00084878" w:rsidRDefault="00136D4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${{PURCHASE PRICE}}</w:t>
            </w:r>
            <w:r>
              <w:rPr>
                <w:rFonts w:ascii="Times New Roman" w:eastAsia="Times New Roman" w:hAnsi="Times New Roman" w:cs="Times New Roman"/>
                <w:sz w:val="24"/>
                <w:szCs w:val="24"/>
              </w:rPr>
              <w:t xml:space="preserve"> payable as follows: Buyer shall pay Seller </w:t>
            </w:r>
            <w:r>
              <w:rPr>
                <w:rFonts w:ascii="Times New Roman" w:eastAsia="Times New Roman" w:hAnsi="Times New Roman" w:cs="Times New Roman"/>
                <w:b/>
                <w:sz w:val="24"/>
                <w:szCs w:val="24"/>
                <w:highlight w:val="yellow"/>
              </w:rPr>
              <w:t>{{ex: twenty}}</w:t>
            </w:r>
            <w:r>
              <w:rPr>
                <w:rFonts w:ascii="Times New Roman" w:eastAsia="Times New Roman" w:hAnsi="Times New Roman" w:cs="Times New Roman"/>
                <w:sz w:val="24"/>
                <w:szCs w:val="24"/>
              </w:rPr>
              <w:t xml:space="preserve"> monthly installments in the amount of </w:t>
            </w:r>
            <w:r>
              <w:rPr>
                <w:rFonts w:ascii="Times New Roman" w:eastAsia="Times New Roman" w:hAnsi="Times New Roman" w:cs="Times New Roman"/>
                <w:b/>
                <w:sz w:val="24"/>
                <w:szCs w:val="24"/>
                <w:highlight w:val="yellow"/>
              </w:rPr>
              <w:t>${{MONTHLY AMOUNT}}</w:t>
            </w:r>
            <w:r>
              <w:rPr>
                <w:rFonts w:ascii="Times New Roman" w:eastAsia="Times New Roman" w:hAnsi="Times New Roman" w:cs="Times New Roman"/>
                <w:sz w:val="24"/>
                <w:szCs w:val="24"/>
              </w:rPr>
              <w:t xml:space="preserve">, commencing </w:t>
            </w:r>
            <w:r>
              <w:rPr>
                <w:rFonts w:ascii="Times New Roman" w:eastAsia="Times New Roman" w:hAnsi="Times New Roman" w:cs="Times New Roman"/>
                <w:b/>
                <w:sz w:val="24"/>
                <w:szCs w:val="24"/>
                <w:highlight w:val="yellow"/>
              </w:rPr>
              <w:t>{{30}}</w:t>
            </w:r>
            <w:r>
              <w:rPr>
                <w:rFonts w:ascii="Times New Roman" w:eastAsia="Times New Roman" w:hAnsi="Times New Roman" w:cs="Times New Roman"/>
                <w:sz w:val="24"/>
                <w:szCs w:val="24"/>
              </w:rPr>
              <w:t xml:space="preserve"> days</w:t>
            </w:r>
            <w:r>
              <w:rPr>
                <w:rFonts w:ascii="Times New Roman" w:eastAsia="Times New Roman" w:hAnsi="Times New Roman" w:cs="Times New Roman"/>
                <w:sz w:val="24"/>
                <w:szCs w:val="24"/>
              </w:rPr>
              <w:t xml:space="preserve"> after Closing, with each subsequent installment to be made on the 1st of the month (the “Monthly Payments”); and </w:t>
            </w:r>
          </w:p>
        </w:tc>
      </w:tr>
    </w:tbl>
    <w:p w14:paraId="00000007" w14:textId="77777777" w:rsidR="00084878" w:rsidRDefault="00084878">
      <w:pPr>
        <w:spacing w:line="240" w:lineRule="auto"/>
        <w:rPr>
          <w:rFonts w:ascii="Times New Roman" w:eastAsia="Times New Roman" w:hAnsi="Times New Roman" w:cs="Times New Roman"/>
          <w:b/>
          <w:color w:val="333333"/>
          <w:sz w:val="24"/>
          <w:szCs w:val="24"/>
        </w:rPr>
      </w:pPr>
    </w:p>
    <w:tbl>
      <w:tblPr>
        <w:tblStyle w:val="a0"/>
        <w:tblW w:w="8640" w:type="dxa"/>
        <w:tblLayout w:type="fixed"/>
        <w:tblLook w:val="0400" w:firstRow="0" w:lastRow="0" w:firstColumn="0" w:lastColumn="0" w:noHBand="0" w:noVBand="1"/>
      </w:tblPr>
      <w:tblGrid>
        <w:gridCol w:w="360"/>
        <w:gridCol w:w="8280"/>
      </w:tblGrid>
      <w:tr w:rsidR="00084878" w14:paraId="014354A7" w14:textId="77777777">
        <w:tc>
          <w:tcPr>
            <w:tcW w:w="360" w:type="dxa"/>
          </w:tcPr>
          <w:p w14:paraId="00000008" w14:textId="77777777" w:rsidR="00084878" w:rsidRDefault="00136D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280" w:type="dxa"/>
          </w:tcPr>
          <w:p w14:paraId="00000009" w14:textId="5CCAE9CE" w:rsidR="00084878" w:rsidRDefault="00136D46">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Buyer shall issue and deliver to Seller </w:t>
            </w:r>
            <w:r>
              <w:rPr>
                <w:rFonts w:ascii="Times New Roman" w:eastAsia="Times New Roman" w:hAnsi="Times New Roman" w:cs="Times New Roman"/>
                <w:b/>
                <w:sz w:val="24"/>
                <w:szCs w:val="24"/>
                <w:highlight w:val="yellow"/>
              </w:rPr>
              <w:t>{{ex: one thousand}}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ex: 1,000}}</w:t>
            </w:r>
            <w:r>
              <w:rPr>
                <w:rFonts w:ascii="Times New Roman" w:eastAsia="Times New Roman" w:hAnsi="Times New Roman" w:cs="Times New Roman"/>
                <w:sz w:val="24"/>
                <w:szCs w:val="24"/>
              </w:rPr>
              <w:t>) shares of Buyer’s common stock, par value $.001 (the “Stock</w:t>
            </w:r>
            <w:r>
              <w:rPr>
                <w:rFonts w:ascii="Times New Roman" w:eastAsia="Times New Roman" w:hAnsi="Times New Roman" w:cs="Times New Roman"/>
                <w:sz w:val="24"/>
                <w:szCs w:val="24"/>
              </w:rPr>
              <w:t xml:space="preserve"> Consideration”), at Closing, representing </w:t>
            </w:r>
            <w:r>
              <w:rPr>
                <w:rFonts w:ascii="Times New Roman" w:eastAsia="Times New Roman" w:hAnsi="Times New Roman" w:cs="Times New Roman"/>
                <w:b/>
                <w:sz w:val="24"/>
                <w:szCs w:val="24"/>
                <w:highlight w:val="yellow"/>
              </w:rPr>
              <w:t>{{XX}}</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 the outstanding stock of Buyer on a fully diluted basis post-Closing</w:t>
            </w:r>
            <w:r>
              <w:rPr>
                <w:rFonts w:ascii="Times New Roman" w:eastAsia="Times New Roman" w:hAnsi="Times New Roman" w:cs="Times New Roman"/>
                <w:sz w:val="24"/>
                <w:szCs w:val="24"/>
              </w:rPr>
              <w:t xml:space="preserve">. </w:t>
            </w:r>
          </w:p>
          <w:p w14:paraId="0000000A" w14:textId="77777777" w:rsidR="00084878" w:rsidRDefault="00084878">
            <w:pPr>
              <w:spacing w:line="240" w:lineRule="auto"/>
              <w:rPr>
                <w:rFonts w:ascii="Times New Roman" w:eastAsia="Times New Roman" w:hAnsi="Times New Roman" w:cs="Times New Roman"/>
                <w:sz w:val="24"/>
                <w:szCs w:val="24"/>
              </w:rPr>
            </w:pPr>
          </w:p>
        </w:tc>
      </w:tr>
    </w:tbl>
    <w:p w14:paraId="0000000B" w14:textId="57F9885C" w:rsidR="00084878" w:rsidRDefault="00136D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Buyer fails to make any Monthly Payment within </w:t>
      </w:r>
      <w:r>
        <w:rPr>
          <w:rFonts w:ascii="Times New Roman" w:eastAsia="Times New Roman" w:hAnsi="Times New Roman" w:cs="Times New Roman"/>
          <w:b/>
          <w:sz w:val="24"/>
          <w:szCs w:val="24"/>
          <w:highlight w:val="yellow"/>
        </w:rPr>
        <w:t>{{45}}</w:t>
      </w:r>
      <w:r>
        <w:rPr>
          <w:rFonts w:ascii="Times New Roman" w:eastAsia="Times New Roman" w:hAnsi="Times New Roman" w:cs="Times New Roman"/>
          <w:sz w:val="24"/>
          <w:szCs w:val="24"/>
        </w:rPr>
        <w:t xml:space="preserve"> days after written notice from Seller that such payment is pas</w:t>
      </w:r>
      <w:r>
        <w:rPr>
          <w:rFonts w:ascii="Times New Roman" w:eastAsia="Times New Roman" w:hAnsi="Times New Roman" w:cs="Times New Roman"/>
          <w:sz w:val="24"/>
          <w:szCs w:val="24"/>
        </w:rPr>
        <w:t>t due (a “</w:t>
      </w:r>
      <w:r>
        <w:rPr>
          <w:rFonts w:ascii="Times New Roman" w:eastAsia="Times New Roman" w:hAnsi="Times New Roman" w:cs="Times New Roman"/>
          <w:i/>
          <w:sz w:val="24"/>
          <w:szCs w:val="24"/>
        </w:rPr>
        <w:t>Payment Default</w:t>
      </w:r>
      <w:r>
        <w:rPr>
          <w:rFonts w:ascii="Times New Roman" w:eastAsia="Times New Roman" w:hAnsi="Times New Roman" w:cs="Times New Roman"/>
          <w:sz w:val="24"/>
          <w:szCs w:val="24"/>
        </w:rPr>
        <w:t xml:space="preserve">”), Seller may declare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Monthly Payments immediately due and payable upon written notice to Buyer. To secure Buyer’s timely payment of the Monthly Payments and Buyer’s other obligations in this agreement (collectively, th</w:t>
      </w:r>
      <w:r>
        <w:rPr>
          <w:rFonts w:ascii="Times New Roman" w:eastAsia="Times New Roman" w:hAnsi="Times New Roman" w:cs="Times New Roman"/>
          <w:sz w:val="24"/>
          <w:szCs w:val="24"/>
        </w:rPr>
        <w:t>e “</w:t>
      </w:r>
      <w:r>
        <w:rPr>
          <w:rFonts w:ascii="Times New Roman" w:eastAsia="Times New Roman" w:hAnsi="Times New Roman" w:cs="Times New Roman"/>
          <w:i/>
          <w:sz w:val="24"/>
          <w:szCs w:val="24"/>
        </w:rPr>
        <w:t>Secured Obligations</w:t>
      </w:r>
      <w:r>
        <w:rPr>
          <w:rFonts w:ascii="Times New Roman" w:eastAsia="Times New Roman" w:hAnsi="Times New Roman" w:cs="Times New Roman"/>
          <w:sz w:val="24"/>
          <w:szCs w:val="24"/>
        </w:rPr>
        <w:t>”), Buyer hereby grants to Seller a continuing first priority lien and security interest (the “</w:t>
      </w:r>
      <w:r>
        <w:rPr>
          <w:rFonts w:ascii="Times New Roman" w:eastAsia="Times New Roman" w:hAnsi="Times New Roman" w:cs="Times New Roman"/>
          <w:i/>
          <w:sz w:val="24"/>
          <w:szCs w:val="24"/>
        </w:rPr>
        <w:t>Security Interest</w:t>
      </w:r>
      <w:r>
        <w:rPr>
          <w:rFonts w:ascii="Times New Roman" w:eastAsia="Times New Roman" w:hAnsi="Times New Roman" w:cs="Times New Roman"/>
          <w:sz w:val="24"/>
          <w:szCs w:val="24"/>
        </w:rPr>
        <w:t xml:space="preserve">”) in all of Buyer’s right, </w:t>
      </w:r>
      <w:proofErr w:type="gramStart"/>
      <w:r>
        <w:rPr>
          <w:rFonts w:ascii="Times New Roman" w:eastAsia="Times New Roman" w:hAnsi="Times New Roman" w:cs="Times New Roman"/>
          <w:sz w:val="24"/>
          <w:szCs w:val="24"/>
        </w:rPr>
        <w:t>title</w:t>
      </w:r>
      <w:proofErr w:type="gramEnd"/>
      <w:r>
        <w:rPr>
          <w:rFonts w:ascii="Times New Roman" w:eastAsia="Times New Roman" w:hAnsi="Times New Roman" w:cs="Times New Roman"/>
          <w:sz w:val="24"/>
          <w:szCs w:val="24"/>
        </w:rPr>
        <w:t xml:space="preserve"> and interest in and to the Assets purchased by the Buyer pursuant to this Agreement, and</w:t>
      </w:r>
      <w:r>
        <w:rPr>
          <w:rFonts w:ascii="Times New Roman" w:eastAsia="Times New Roman" w:hAnsi="Times New Roman" w:cs="Times New Roman"/>
          <w:sz w:val="24"/>
          <w:szCs w:val="24"/>
        </w:rPr>
        <w:t xml:space="preserve"> all accessions to and proceeds of such assets (all such assets, collectively, the “</w:t>
      </w:r>
      <w:r>
        <w:rPr>
          <w:rFonts w:ascii="Times New Roman" w:eastAsia="Times New Roman" w:hAnsi="Times New Roman" w:cs="Times New Roman"/>
          <w:i/>
          <w:sz w:val="24"/>
          <w:szCs w:val="24"/>
        </w:rPr>
        <w:t>Collateral</w:t>
      </w:r>
      <w:r>
        <w:rPr>
          <w:rFonts w:ascii="Times New Roman" w:eastAsia="Times New Roman" w:hAnsi="Times New Roman" w:cs="Times New Roman"/>
          <w:sz w:val="24"/>
          <w:szCs w:val="24"/>
        </w:rPr>
        <w:t>”). If a Payment Default has occurred and is continuing or Buyer fails to perform any other Secured Obligation, Seller may exercise all rights and remedies of a s</w:t>
      </w:r>
      <w:r>
        <w:rPr>
          <w:rFonts w:ascii="Times New Roman" w:eastAsia="Times New Roman" w:hAnsi="Times New Roman" w:cs="Times New Roman"/>
          <w:sz w:val="24"/>
          <w:szCs w:val="24"/>
        </w:rPr>
        <w:t xml:space="preserve">ecured party under the </w:t>
      </w:r>
      <w:r>
        <w:rPr>
          <w:rFonts w:ascii="Times New Roman" w:eastAsia="Times New Roman" w:hAnsi="Times New Roman" w:cs="Times New Roman"/>
          <w:b/>
          <w:sz w:val="24"/>
          <w:szCs w:val="24"/>
          <w:highlight w:val="yellow"/>
        </w:rPr>
        <w:t>{{STATE OF JURISDICTION, ex. “California”}}</w:t>
      </w:r>
      <w:r>
        <w:rPr>
          <w:rFonts w:ascii="Times New Roman" w:eastAsia="Times New Roman" w:hAnsi="Times New Roman" w:cs="Times New Roman"/>
          <w:sz w:val="24"/>
          <w:szCs w:val="24"/>
        </w:rPr>
        <w:t xml:space="preserve"> Uniform Commercial Code with respect to the Collateral and the Secured Obligations. Until the Monthly Payments are paid in full, Buyer will not transfer the Collateral or create, incur,</w:t>
      </w:r>
      <w:r>
        <w:rPr>
          <w:rFonts w:ascii="Times New Roman" w:eastAsia="Times New Roman" w:hAnsi="Times New Roman" w:cs="Times New Roman"/>
          <w:sz w:val="24"/>
          <w:szCs w:val="24"/>
        </w:rPr>
        <w:t xml:space="preserve"> or p</w:t>
      </w:r>
      <w:r>
        <w:rPr>
          <w:rFonts w:ascii="Times New Roman" w:eastAsia="Times New Roman" w:hAnsi="Times New Roman" w:cs="Times New Roman"/>
          <w:sz w:val="24"/>
          <w:szCs w:val="24"/>
        </w:rPr>
        <w:t>ermit to exist any other lien or security interest on or in the Collateral without Seller’s prior written consent. Upon the written request of Seller, Buyer will promptly deliver such further instruments and documents and take such further action as Seller</w:t>
      </w:r>
      <w:r>
        <w:rPr>
          <w:rFonts w:ascii="Times New Roman" w:eastAsia="Times New Roman" w:hAnsi="Times New Roman" w:cs="Times New Roman"/>
          <w:sz w:val="24"/>
          <w:szCs w:val="24"/>
        </w:rPr>
        <w:t xml:space="preserve"> may reasonably request for the purpose of obtaining or preserving the full benefits of this paragraph and of the rights and powers herein granted, including, without limitation, filing any financing or continuation statements under the UCC with respect to</w:t>
      </w:r>
      <w:r>
        <w:rPr>
          <w:rFonts w:ascii="Times New Roman" w:eastAsia="Times New Roman" w:hAnsi="Times New Roman" w:cs="Times New Roman"/>
          <w:sz w:val="24"/>
          <w:szCs w:val="24"/>
        </w:rPr>
        <w:t xml:space="preserve"> the Security Interest created hereby. Until the Monthly Payments are paid in full, Buyer will provide Seller with at least 30 days’ prior written notice of any change in Buyer’s name, state of incorporation or organization, organizational identification n</w:t>
      </w:r>
      <w:r>
        <w:rPr>
          <w:rFonts w:ascii="Times New Roman" w:eastAsia="Times New Roman" w:hAnsi="Times New Roman" w:cs="Times New Roman"/>
          <w:sz w:val="24"/>
          <w:szCs w:val="24"/>
        </w:rPr>
        <w:t xml:space="preserve">umber or place of business. </w:t>
      </w:r>
    </w:p>
    <w:p w14:paraId="0000000C" w14:textId="77777777" w:rsidR="00084878" w:rsidRDefault="00084878">
      <w:pPr>
        <w:rPr>
          <w:rFonts w:ascii="Times New Roman" w:eastAsia="Times New Roman" w:hAnsi="Times New Roman" w:cs="Times New Roman"/>
          <w:sz w:val="24"/>
          <w:szCs w:val="24"/>
        </w:rPr>
      </w:pPr>
    </w:p>
    <w:sectPr w:rsidR="000848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78"/>
    <w:rsid w:val="00084878"/>
    <w:rsid w:val="0013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4A400-3983-40D6-8946-84BFC595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2271</Characters>
  <Application>Microsoft Office Word</Application>
  <DocSecurity>4</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2021-07-30T11:54:00Z</dcterms:created>
  <dcterms:modified xsi:type="dcterms:W3CDTF">2021-07-30T11:54:00Z</dcterms:modified>
</cp:coreProperties>
</file>